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Specyfikacja aplikacji HIGI</w:t>
      </w:r>
    </w:p>
    <w:p>
      <w:r>
        <w:rPr>
          <w:b/>
          <w:i w:val="0"/>
          <w:color w:val="C01B6E"/>
          <w:sz w:val="26"/>
        </w:rPr>
        <w:t>higi.com.pl — narzędzie dla higienistek stomatologicznych</w:t>
      </w:r>
    </w:p>
    <w:p>
      <w:r>
        <w:rPr>
          <w:b w:val="0"/>
          <w:i/>
        </w:rPr>
        <w:t>Dokumentacja techniczna na potrzeby oceny prawnej (AI Act + RODO) oraz marketingu.</w:t>
      </w:r>
    </w:p>
    <w:p>
      <w:r>
        <w:rPr>
          <w:b w:val="0"/>
          <w:i w:val="0"/>
        </w:rPr>
        <w:t>Wersja: 25 czerwca 2026 · dokument wewnętrzny.</w:t>
      </w:r>
    </w:p>
    <w:p>
      <w:r>
        <w:rPr>
          <w:b w:val="0"/>
          <w:i w:val="0"/>
        </w:rPr>
      </w:r>
    </w:p>
    <w:p>
      <w:r>
        <w:rPr>
          <w:b w:val="0"/>
          <w:i/>
        </w:rPr>
        <w:t>To dokumentacja stanu faktycznego aplikacji, oparta na kodzie źródłowym (z dowodami: plik:linia). NIE jest to porada prawna. Ostateczna ocena zgodności z AI Act i RODO należy do prawnika / IOD — ten dokument dostarcza im rzetelnych faktów oraz wstępnej analizy pomocniczej.</w:t>
      </w:r>
    </w:p>
    <w:p>
      <w:r>
        <w:br w:type="page"/>
      </w:r>
    </w:p>
    <w:p>
      <w:pPr>
        <w:pStyle w:val="Heading1"/>
      </w:pPr>
      <w:r>
        <w:t>0. Jak czytać ten dokument</w:t>
      </w:r>
    </w:p>
    <w:p>
      <w:pPr>
        <w:pStyle w:val="ListBullet"/>
      </w:pPr>
      <w:r>
        <w:rPr>
          <w:b/>
        </w:rPr>
        <w:t>Część faktograficzna</w:t>
      </w:r>
      <w:r>
        <w:t xml:space="preserve"> opisuje, co aplikacja realnie robi i jakie dane przetwarza; każdy kluczowy fakt ma dowód w kodzie (ścieżka pliku, ew. numer linii).</w:t>
      </w:r>
    </w:p>
    <w:p>
      <w:pPr>
        <w:pStyle w:val="ListBullet"/>
      </w:pPr>
      <w:r>
        <w:rPr>
          <w:b/>
        </w:rPr>
        <w:t>Część analityczna</w:t>
      </w:r>
      <w:r>
        <w:t xml:space="preserve"> (sekcje 5, 6, 9) to wstępna analiza pomocnicza dla prawnika — wskazujemy, dlaczego naszym zdaniem aplikacja jest poza zakresem AI Act i o niskim ryzyku RODO, oraz co wymaga potwierdzenia.</w:t>
      </w:r>
    </w:p>
    <w:p>
      <w:pPr>
        <w:pStyle w:val="ListBullet"/>
      </w:pPr>
      <w:r>
        <w:rPr>
          <w:b/>
        </w:rPr>
        <w:t>Status</w:t>
      </w:r>
      <w:r>
        <w:t xml:space="preserve"> Rozróżniamy konsekwentnie PRODUKCJĘ (to, co działa dziś na higi.com.pl) od DEV (funkcje w przygotowaniu, jeszcze nie na produkcji) — patrz sekcja 3.</w:t>
      </w:r>
    </w:p>
    <w:p>
      <w:pPr>
        <w:pStyle w:val="ListBullet"/>
      </w:pPr>
      <w:r>
        <w:rPr>
          <w:b/>
        </w:rPr>
        <w:t>Dowody</w:t>
      </w:r>
      <w:r>
        <w:t xml:space="preserve"> Pełna lista plików źródłowych, na których oparto dokument, jest w sekcji 10.</w:t>
      </w:r>
    </w:p>
    <w:p>
      <w:pPr>
        <w:pStyle w:val="Heading1"/>
      </w:pPr>
      <w:r>
        <w:t>1. Streszczenie wykonawcze</w:t>
      </w:r>
    </w:p>
    <w:p>
      <w:r>
        <w:rPr>
          <w:b w:val="0"/>
          <w:i w:val="0"/>
        </w:rPr>
        <w:t>HIGI to aplikacja w przeglądarce dla higienistek stomatologicznych. Na podstawie ankiety o stanie zębów i nawykach pacjenta generuje spersonalizowany plan higieny jamy ustnej (co kupić, czego używać, jak często, w jakiej kolejności). Plan powstaje po stronie higienistki, która prowadzi pacjenta przez ankietę, przegląda wynik i przekazuje go pacjentowi (wydruk / PDF).</w:t>
      </w:r>
    </w:p>
    <w:p>
      <w:r>
        <w:rPr>
          <w:b/>
          <w:i w:val="0"/>
        </w:rPr>
        <w:t>Cztery fakty kluczowe dla oceny prawnej:</w:t>
      </w:r>
    </w:p>
    <w:p>
      <w:pPr>
        <w:pStyle w:val="ListBullet"/>
      </w:pPr>
      <w:r>
        <w:rPr>
          <w:b/>
        </w:rPr>
        <w:t>(1) Brak AI.</w:t>
      </w:r>
      <w:r>
        <w:t xml:space="preserve"> Silnik generujący plan jest w 100% DETERMINISTYCZNY — to reguły „jeśli–to” napisane ręcznie w arkuszu kalkulacyjnym. Zero sztucznej inteligencji, uczenia maszynowego, modeli językowych, profilowania czy scoringu ryzyka. To kluczowe dla AI Act.</w:t>
      </w:r>
    </w:p>
    <w:p>
      <w:pPr>
        <w:pStyle w:val="ListBullet"/>
      </w:pPr>
      <w:r>
        <w:rPr>
          <w:b/>
        </w:rPr>
        <w:t>(2) Dane pacjenta tylko w przeglądarce.</w:t>
      </w:r>
      <w:r>
        <w:t xml:space="preserve"> Odpowiedzi pacjenta i wygenerowany plan żyją WYŁĄCZNIE w przeglądarce (pamięć lokalna). Nie są wysyłane na serwer ani do żadnej strony trzeciej. To kluczowe dla RODO — po stronie serwera nie ma danych zdrowotnych pacjenta (art. 9 RODO).</w:t>
      </w:r>
    </w:p>
    <w:p>
      <w:pPr>
        <w:pStyle w:val="ListBullet"/>
      </w:pPr>
      <w:r>
        <w:rPr>
          <w:b/>
        </w:rPr>
        <w:t>(3) Na serwerze tylko dane firmowe.</w:t>
      </w:r>
      <w:r>
        <w:t xml:space="preserve"> Serwer przechowuje wyłącznie dane konta higienistki/gabinetu (imię, e-mail, rola; dla gabinetów także NIP i adres do faktury) oraz treści szablonów tworzone przez higienistki. To zwykłe dane B2B, nie dane szczególnej kategorii.</w:t>
      </w:r>
    </w:p>
    <w:p>
      <w:pPr>
        <w:pStyle w:val="ListBullet"/>
      </w:pPr>
      <w:r>
        <w:rPr>
          <w:b/>
        </w:rPr>
        <w:t>(4) Podprocesorzy uregulowani.</w:t>
      </w:r>
      <w:r>
        <w:t xml:space="preserve"> Logowanie (Clerk), hosting (Cloudflare), płatności (Stripe), maile (Resend) — to podprocesorzy działający na umowach powierzenia; transfery do USA na mechanizmach DPF/SCC. Baza danych (Cloudflare D1) w UE.</w:t>
      </w:r>
    </w:p>
    <w:p>
      <w:pPr>
        <w:pStyle w:val="Heading1"/>
      </w:pPr>
      <w:r>
        <w:t>2. Czym jest HIGI (opis funkcjonalny)</w:t>
      </w:r>
    </w:p>
    <w:p>
      <w:pPr>
        <w:pStyle w:val="Heading2"/>
      </w:pPr>
      <w:r>
        <w:t>2.1. Dla kogo</w:t>
      </w:r>
    </w:p>
    <w:p>
      <w:r>
        <w:rPr>
          <w:b w:val="0"/>
          <w:i w:val="0"/>
        </w:rPr>
        <w:t>Klient docelowy: higienistka stomatologiczna prowadząca własną praktykę lub pracująca w gabinecie. Pacjent nie jest użytkownikiem konta — jest osobą, dla której higienistka generuje plan.</w:t>
      </w:r>
    </w:p>
    <w:p>
      <w:pPr>
        <w:pStyle w:val="Heading2"/>
      </w:pPr>
      <w:r>
        <w:t>2.2. Przepływ działania</w:t>
      </w:r>
    </w:p>
    <w:p>
      <w:pPr>
        <w:pStyle w:val="ListNumber"/>
      </w:pPr>
      <w:r>
        <w:t>Higienistka loguje się do aplikacji (konto przez Clerk).</w:t>
      </w:r>
    </w:p>
    <w:p>
      <w:pPr>
        <w:pStyle w:val="ListNumber"/>
      </w:pPr>
      <w:r>
        <w:t>Prowadzi pacjenta przez ankietę: ~50 pytań warunkowych (kolejne pytanie pojawia się zależnie od wcześniejszej odpowiedzi).</w:t>
      </w:r>
    </w:p>
    <w:p>
      <w:pPr>
        <w:pStyle w:val="ListNumber"/>
      </w:pPr>
      <w:r>
        <w:t>Silnik mechanicznie mapuje odpowiedzi na bloki treści i składa plan w 10 sekcjach: Wstęp, 13 Zasad, Diagnoza, Styl życia, Higiena poranna, Higiena wieczorna, Produkty, Lista zakupów, Wizyty, Kontakt.</w:t>
      </w:r>
    </w:p>
    <w:p>
      <w:pPr>
        <w:pStyle w:val="ListNumber"/>
      </w:pPr>
      <w:r>
        <w:t>Higienistka przegląda plan i przekazuje go pacjentowi: kopiuje tekst, drukuje lub zapisuje jako PDF (wszystko po stronie przeglądarki).</w:t>
      </w:r>
    </w:p>
    <w:p>
      <w:r>
        <w:rPr>
          <w:b w:val="0"/>
          <w:i/>
        </w:rPr>
        <w:t>Uwaga (stan produkcyjny): na produkcji higienistka NIE edytuje treści wygenerowanych bloków planu — zakładka „Edytor” informuje, że funkcja edycji pojawi się w kolejnej iteracji. Higienistka steruje przepływem (odpowiada na pytania), przegląda wynik, ustawia dane gabinetu i drukuje. Edytor treści jest w przygotowaniu (środowisko dev).</w:t>
      </w:r>
    </w:p>
    <w:p>
      <w:pPr>
        <w:pStyle w:val="Heading2"/>
      </w:pPr>
      <w:r>
        <w:t>2.3. Role w systemie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  <w:t>Rola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Opis</w:t>
            </w:r>
          </w:p>
        </w:tc>
      </w:tr>
      <w:tr>
        <w:tc>
          <w:tcPr>
            <w:tcW w:type="dxa" w:w="4320"/>
          </w:tcPr>
          <w:p>
            <w:r>
              <w:t>Higienistka solo</w:t>
            </w:r>
          </w:p>
        </w:tc>
        <w:tc>
          <w:tcPr>
            <w:tcW w:type="dxa" w:w="4320"/>
          </w:tcPr>
          <w:p>
            <w:r>
              <w:t>Samodzielna praktyka; własne konto, własny dostęp.</w:t>
            </w:r>
          </w:p>
        </w:tc>
      </w:tr>
      <w:tr>
        <w:tc>
          <w:tcPr>
            <w:tcW w:type="dxa" w:w="4320"/>
          </w:tcPr>
          <w:p>
            <w:r>
              <w:t>Gabinet (organizacja)</w:t>
            </w:r>
          </w:p>
        </w:tc>
        <w:tc>
          <w:tcPr>
            <w:tcW w:type="dxa" w:w="4320"/>
          </w:tcPr>
          <w:p>
            <w:r>
              <w:t>Właściciel + zaproszeni członkowie; dostęp dziedziczony. Funkcja w przygotowaniu (dev).</w:t>
            </w:r>
          </w:p>
        </w:tc>
      </w:tr>
      <w:tr>
        <w:tc>
          <w:tcPr>
            <w:tcW w:type="dxa" w:w="4320"/>
          </w:tcPr>
          <w:p>
            <w:r>
              <w:t>Super-admin</w:t>
            </w:r>
          </w:p>
        </w:tc>
        <w:tc>
          <w:tcPr>
            <w:tcW w:type="dxa" w:w="4320"/>
          </w:tcPr>
          <w:p>
            <w:r>
              <w:t>4 adresy e-mail z listy (twardo w kodzie) + ewentualnie nadani przez panel; zarządzają treścią, dostępem, mailami.</w:t>
            </w:r>
          </w:p>
        </w:tc>
      </w:tr>
    </w:tbl>
    <w:p>
      <w:pPr>
        <w:pStyle w:val="Heading1"/>
      </w:pPr>
      <w:r>
        <w:t>3. Status: produkcja vs środowisko deweloperskie</w:t>
      </w:r>
    </w:p>
    <w:p>
      <w:r>
        <w:rPr>
          <w:b w:val="0"/>
          <w:i w:val="0"/>
        </w:rPr>
        <w:t>Dla precyzji prawnej rozdzielamy, co działa na produkcji (higi.com.pl), a co jest w przygotowaniu na dev (dev.higi.com.pl) i jeszcze nie zostało wdrożone na produkcję.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b/>
              </w:rPr>
              <w:t>Funkcja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Status</w:t>
            </w:r>
          </w:p>
        </w:tc>
      </w:tr>
      <w:tr>
        <w:tc>
          <w:tcPr>
            <w:tcW w:type="dxa" w:w="4320"/>
          </w:tcPr>
          <w:p>
            <w:r>
              <w:t>Pacjencki silnik ankieta→plan (deterministyczny, w przeglądarce)</w:t>
            </w:r>
          </w:p>
        </w:tc>
        <w:tc>
          <w:tcPr>
            <w:tcW w:type="dxa" w:w="4320"/>
          </w:tcPr>
          <w:p>
            <w:r>
              <w:t>PRODUKCJA</w:t>
            </w:r>
          </w:p>
        </w:tc>
      </w:tr>
      <w:tr>
        <w:tc>
          <w:tcPr>
            <w:tcW w:type="dxa" w:w="4320"/>
          </w:tcPr>
          <w:p>
            <w:r>
              <w:t>Logowanie higienistki + konto + brama dostępu</w:t>
            </w:r>
          </w:p>
        </w:tc>
        <w:tc>
          <w:tcPr>
            <w:tcW w:type="dxa" w:w="4320"/>
          </w:tcPr>
          <w:p>
            <w:r>
              <w:t>PRODUKCJA</w:t>
            </w:r>
          </w:p>
        </w:tc>
      </w:tr>
      <w:tr>
        <w:tc>
          <w:tcPr>
            <w:tcW w:type="dxa" w:w="4320"/>
          </w:tcPr>
          <w:p>
            <w:r>
              <w:t>Konta gabinetów (organizacje Clerk, zaproszenia, dziedziczenie dostępu)</w:t>
            </w:r>
          </w:p>
        </w:tc>
        <w:tc>
          <w:tcPr>
            <w:tcW w:type="dxa" w:w="4320"/>
          </w:tcPr>
          <w:p>
            <w:r>
              <w:t>DEV (w przygotowaniu)</w:t>
            </w:r>
          </w:p>
        </w:tc>
      </w:tr>
      <w:tr>
        <w:tc>
          <w:tcPr>
            <w:tcW w:type="dxa" w:w="4320"/>
          </w:tcPr>
          <w:p>
            <w:r>
              <w:t>Edytor treści ankiety/planu zapisywany na serwer (szablony)</w:t>
            </w:r>
          </w:p>
        </w:tc>
        <w:tc>
          <w:tcPr>
            <w:tcW w:type="dxa" w:w="4320"/>
          </w:tcPr>
          <w:p>
            <w:r>
              <w:t>DEV (w przygotowaniu)</w:t>
            </w:r>
          </w:p>
        </w:tc>
      </w:tr>
      <w:tr>
        <w:tc>
          <w:tcPr>
            <w:tcW w:type="dxa" w:w="4320"/>
          </w:tcPr>
          <w:p>
            <w:r>
              <w:t>System maili transakcyjnych (Resend) + przypomnienia</w:t>
            </w:r>
          </w:p>
        </w:tc>
        <w:tc>
          <w:tcPr>
            <w:tcW w:type="dxa" w:w="4320"/>
          </w:tcPr>
          <w:p>
            <w:r>
              <w:t>DEV (tryb próbny, bez realnej wysyłki)</w:t>
            </w:r>
          </w:p>
        </w:tc>
      </w:tr>
      <w:tr>
        <w:tc>
          <w:tcPr>
            <w:tcW w:type="dxa" w:w="4320"/>
          </w:tcPr>
          <w:p>
            <w:r>
              <w:t>NIP gabinetu jako kotwica + dane do faktury</w:t>
            </w:r>
          </w:p>
        </w:tc>
        <w:tc>
          <w:tcPr>
            <w:tcW w:type="dxa" w:w="4320"/>
          </w:tcPr>
          <w:p>
            <w:r>
              <w:t>DEV (w przygotowaniu)</w:t>
            </w:r>
          </w:p>
        </w:tc>
      </w:tr>
      <w:tr>
        <w:tc>
          <w:tcPr>
            <w:tcW w:type="dxa" w:w="4320"/>
          </w:tcPr>
          <w:p>
            <w:r>
              <w:t>Weryfikacja telefonu higienistki solo (Clerk SMS) jako kotwica anty-abuse</w:t>
            </w:r>
          </w:p>
        </w:tc>
        <w:tc>
          <w:tcPr>
            <w:tcW w:type="dxa" w:w="4320"/>
          </w:tcPr>
          <w:p>
            <w:r>
              <w:t>DEV (przygotowane, NIEAKTYWNE — czeka na konfigurację Clerk SMS)</w:t>
            </w:r>
          </w:p>
        </w:tc>
      </w:tr>
      <w:tr>
        <w:tc>
          <w:tcPr>
            <w:tcW w:type="dxa" w:w="4320"/>
          </w:tcPr>
          <w:p>
            <w:r>
              <w:t>Płatności kartą (Stripe)</w:t>
            </w:r>
          </w:p>
        </w:tc>
        <w:tc>
          <w:tcPr>
            <w:tcW w:type="dxa" w:w="4320"/>
          </w:tcPr>
          <w:p>
            <w:r>
              <w:t>Przygotowane technicznie, nieaktywne (aktywacja kodem/ręcznie)</w:t>
            </w:r>
          </w:p>
        </w:tc>
      </w:tr>
    </w:tbl>
    <w:p>
      <w:r>
        <w:rPr>
          <w:b w:val="0"/>
          <w:i/>
        </w:rPr>
        <w:t>Niniejsza specyfikacja opisuje cały system (produkcja + bliski roadmap), aby prawnik mógł ocenić także funkcje wchodzące (zwłaszcza przechowywanie NIP i maile), które są przedmiotem przygotowywanej klauzuli RODO.</w:t>
      </w:r>
    </w:p>
    <w:p>
      <w:pPr>
        <w:pStyle w:val="Heading1"/>
      </w:pPr>
      <w:r>
        <w:t>4. Architektura techniczna</w:t>
      </w:r>
    </w:p>
    <w:p>
      <w:pPr>
        <w:pStyle w:val="Heading2"/>
      </w:pPr>
      <w:r>
        <w:t>4.1. Komponenty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</w:rPr>
              <w:t>Warstwa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Technologia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Rola</w:t>
            </w:r>
          </w:p>
        </w:tc>
      </w:tr>
      <w:tr>
        <w:tc>
          <w:tcPr>
            <w:tcW w:type="dxa" w:w="2880"/>
          </w:tcPr>
          <w:p>
            <w:r>
              <w:t>Front pacjenta (legacy)</w:t>
            </w:r>
          </w:p>
        </w:tc>
        <w:tc>
          <w:tcPr>
            <w:tcW w:type="dxa" w:w="2880"/>
          </w:tcPr>
          <w:p>
            <w:r>
              <w:t>Czysty JavaScript/HTML + biblioteka SheetJS (xlsx) + html2pdf</w:t>
            </w:r>
          </w:p>
        </w:tc>
        <w:tc>
          <w:tcPr>
            <w:tcW w:type="dxa" w:w="2880"/>
          </w:tcPr>
          <w:p>
            <w:r>
              <w:t>Ankieta i generowanie planu w przeglądarce. Bez komunikacji z serwerem poza pobraniem pliku reguł.</w:t>
            </w:r>
          </w:p>
        </w:tc>
      </w:tr>
      <w:tr>
        <w:tc>
          <w:tcPr>
            <w:tcW w:type="dxa" w:w="2880"/>
          </w:tcPr>
          <w:p>
            <w:r>
              <w:t>Front higienistki/admina</w:t>
            </w:r>
          </w:p>
        </w:tc>
        <w:tc>
          <w:tcPr>
            <w:tcW w:type="dxa" w:w="2880"/>
          </w:tcPr>
          <w:p>
            <w:r>
              <w:t>React + TypeScript + Vite</w:t>
            </w:r>
          </w:p>
        </w:tc>
        <w:tc>
          <w:tcPr>
            <w:tcW w:type="dxa" w:w="2880"/>
          </w:tcPr>
          <w:p>
            <w:r>
              <w:t>Logowanie, konto, panel gabinetu/admina. Wysyła dane konta do serwera.</w:t>
            </w:r>
          </w:p>
        </w:tc>
      </w:tr>
      <w:tr>
        <w:tc>
          <w:tcPr>
            <w:tcW w:type="dxa" w:w="2880"/>
          </w:tcPr>
          <w:p>
            <w:r>
              <w:t>Serwer (API)</w:t>
            </w:r>
          </w:p>
        </w:tc>
        <w:tc>
          <w:tcPr>
            <w:tcW w:type="dxa" w:w="2880"/>
          </w:tcPr>
          <w:p>
            <w:r>
              <w:t>Cloudflare Workers (Hono)</w:t>
            </w:r>
          </w:p>
        </w:tc>
        <w:tc>
          <w:tcPr>
            <w:tcW w:type="dxa" w:w="2880"/>
          </w:tcPr>
          <w:p>
            <w:r>
              <w:t>~40 endpointów: konto, autoryzacja, szablony, organizacje, maile, billing. Każdy wymaga uwierzytelnienia (JWT Clerk).</w:t>
            </w:r>
          </w:p>
        </w:tc>
      </w:tr>
      <w:tr>
        <w:tc>
          <w:tcPr>
            <w:tcW w:type="dxa" w:w="2880"/>
          </w:tcPr>
          <w:p>
            <w:r>
              <w:t>Baza danych</w:t>
            </w:r>
          </w:p>
        </w:tc>
        <w:tc>
          <w:tcPr>
            <w:tcW w:type="dxa" w:w="2880"/>
          </w:tcPr>
          <w:p>
            <w:r>
              <w:t>Cloudflare D1 (SQLite) — region Europa Wschodnia (EEUR)</w:t>
            </w:r>
          </w:p>
        </w:tc>
        <w:tc>
          <w:tcPr>
            <w:tcW w:type="dxa" w:w="2880"/>
          </w:tcPr>
          <w:p>
            <w:r>
              <w:t>Dane konta/gabinetu, szablony treści, konfiguracja, logi maili, audyt. Bez danych pacjenta. Szczegóły rezydencji: sekcja 6.6.</w:t>
            </w:r>
          </w:p>
        </w:tc>
      </w:tr>
      <w:tr>
        <w:tc>
          <w:tcPr>
            <w:tcW w:type="dxa" w:w="2880"/>
          </w:tcPr>
          <w:p>
            <w:r>
              <w:t>Pamięć podręczna / sesje</w:t>
            </w:r>
          </w:p>
        </w:tc>
        <w:tc>
          <w:tcPr>
            <w:tcW w:type="dxa" w:w="2880"/>
          </w:tcPr>
          <w:p>
            <w:r>
              <w:t>Cloudflare KV</w:t>
            </w:r>
          </w:p>
        </w:tc>
        <w:tc>
          <w:tcPr>
            <w:tcW w:type="dxa" w:w="2880"/>
          </w:tcPr>
          <w:p>
            <w:r>
              <w:t>Dane techniczne sesji/cache.</w:t>
            </w:r>
          </w:p>
        </w:tc>
      </w:tr>
      <w:tr>
        <w:tc>
          <w:tcPr>
            <w:tcW w:type="dxa" w:w="2880"/>
          </w:tcPr>
          <w:p>
            <w:r>
              <w:t>Tożsamość/logowanie</w:t>
            </w:r>
          </w:p>
        </w:tc>
        <w:tc>
          <w:tcPr>
            <w:tcW w:type="dxa" w:w="2880"/>
          </w:tcPr>
          <w:p>
            <w:r>
              <w:t>Clerk (zewn.)</w:t>
            </w:r>
          </w:p>
        </w:tc>
        <w:tc>
          <w:tcPr>
            <w:tcW w:type="dxa" w:w="2880"/>
          </w:tcPr>
          <w:p>
            <w:r>
              <w:t>Hasła, 2FA, sesje, organizacje. JWT RS256/JWKS, weryfikowany offline na Workerze.</w:t>
            </w:r>
          </w:p>
        </w:tc>
      </w:tr>
      <w:tr>
        <w:tc>
          <w:tcPr>
            <w:tcW w:type="dxa" w:w="2880"/>
          </w:tcPr>
          <w:p>
            <w:r>
              <w:t>Płatności</w:t>
            </w:r>
          </w:p>
        </w:tc>
        <w:tc>
          <w:tcPr>
            <w:tcW w:type="dxa" w:w="2880"/>
          </w:tcPr>
          <w:p>
            <w:r>
              <w:t>Stripe (zewn.)</w:t>
            </w:r>
          </w:p>
        </w:tc>
        <w:tc>
          <w:tcPr>
            <w:tcW w:type="dxa" w:w="2880"/>
          </w:tcPr>
          <w:p>
            <w:r>
              <w:t>Billing, webhooki (nieaktywne na produkcji).</w:t>
            </w:r>
          </w:p>
        </w:tc>
      </w:tr>
      <w:tr>
        <w:tc>
          <w:tcPr>
            <w:tcW w:type="dxa" w:w="2880"/>
          </w:tcPr>
          <w:p>
            <w:r>
              <w:t>Maile</w:t>
            </w:r>
          </w:p>
        </w:tc>
        <w:tc>
          <w:tcPr>
            <w:tcW w:type="dxa" w:w="2880"/>
          </w:tcPr>
          <w:p>
            <w:r>
              <w:t>Resend (zewn.)</w:t>
            </w:r>
          </w:p>
        </w:tc>
        <w:tc>
          <w:tcPr>
            <w:tcW w:type="dxa" w:w="2880"/>
          </w:tcPr>
          <w:p>
            <w:r>
              <w:t>Maile transakcyjne (tryb próbny na dev).</w:t>
            </w:r>
          </w:p>
        </w:tc>
      </w:tr>
    </w:tbl>
    <w:p>
      <w:pPr>
        <w:pStyle w:val="Heading2"/>
      </w:pPr>
      <w:r>
        <w:t>4.2. Granica danych (kluczowa)</w:t>
      </w:r>
    </w:p>
    <w:p>
      <w:r>
        <w:rPr>
          <w:b w:val="0"/>
          <w:i w:val="0"/>
        </w:rPr>
        <w:t>System ma jawną, twardą granicę: dane PACJENTA nigdy nie przekraczają przeglądarki. Dane KONTA higienistki/gabinetu trafiają na serwer. Schematycznie:</w:t>
      </w:r>
    </w:p>
    <w:p>
      <w:r>
        <w:rPr>
          <w:b/>
          <w:i w:val="0"/>
        </w:rPr>
        <w:t>PRZEGLĄDARKA PACJENTA  →  [ankieta + plan: pamięć lokalna, wydruk/PDF]  ✗ nie wychodzi na serwer</w:t>
      </w:r>
    </w:p>
    <w:p>
      <w:r>
        <w:rPr>
          <w:b/>
          <w:i w:val="0"/>
        </w:rPr>
        <w:t>PRZEGLĄDARKA HIGIENISTKI  →  [dane konta, NIP, szablony]  →  SERWER (Worker → D1, region Europa Wschodnia) + Clerk (USA) / Stripe / Resend</w:t>
      </w:r>
    </w:p>
    <w:p>
      <w:pPr>
        <w:pStyle w:val="Heading1"/>
      </w:pPr>
      <w:r>
        <w:t>5. Silnik planu — analiza pod AI Act</w:t>
      </w:r>
    </w:p>
    <w:p>
      <w:pPr>
        <w:pStyle w:val="Heading2"/>
      </w:pPr>
      <w:r>
        <w:t>5.1. Jak działa silnik (fakty z kodu)</w:t>
      </w:r>
    </w:p>
    <w:p>
      <w:pPr>
        <w:pStyle w:val="ListBullet"/>
      </w:pPr>
      <w:r>
        <w:rPr>
          <w:b/>
        </w:rPr>
        <w:t>Determinizm:</w:t>
      </w:r>
      <w:r>
        <w:t xml:space="preserve"> te same odpowiedzi ankiety zawsze dają ten sam plan. Logika to czyste funkcje dopasowujące warunki (wzorce „P*.* → wartość”). Brak losowości, brak adaptacji. Dowód: apps/legacy/lib/app.js:160–181 (ocena warunku), 264–291 (składanie planu).</w:t>
      </w:r>
    </w:p>
    <w:p>
      <w:pPr>
        <w:pStyle w:val="ListBullet"/>
      </w:pPr>
      <w:r>
        <w:rPr>
          <w:b/>
        </w:rPr>
        <w:t>Źródło reguł:</w:t>
      </w:r>
      <w:r>
        <w:t xml:space="preserve"> cała logika pochodzi z arkusza Excel (ANKIETA-FINAL-2026-05-03-v7-ZATWIERDZONA-DOMI.xlsx) napisanego ręcznie przez zespół merytoryczny; arkusz jest wczytywany lokalnie w przeglądarce (SheetJS). Dowód: apps/legacy/lib/excel-parser.js:247–272, app.js:12.</w:t>
      </w:r>
    </w:p>
    <w:p>
      <w:pPr>
        <w:pStyle w:val="ListBullet"/>
      </w:pPr>
      <w:r>
        <w:rPr>
          <w:b/>
        </w:rPr>
        <w:t>Brak ML/LLM:</w:t>
      </w:r>
      <w:r>
        <w:t xml:space="preserve"> brak jakichkolwiek wywołań do modeli AI (OpenAI/Anthropic/itp.), brak sieci neuronowych, brak uczenia maszynowego. Jedyne połączenie sieciowe to pobranie pliku z regułami. Dowód: app.js (brak wzmianek o AI/ML), jedyny fetch = plik reguł.</w:t>
      </w:r>
    </w:p>
    <w:p>
      <w:pPr>
        <w:pStyle w:val="ListBullet"/>
      </w:pPr>
      <w:r>
        <w:rPr>
          <w:b/>
        </w:rPr>
        <w:t>Brak profilowania/scoringu:</w:t>
      </w:r>
      <w:r>
        <w:t xml:space="preserve"> brak punktacji, brak oceny ryzyka choroby, brak budowania profilu pacjenta. Tylko reguły „jeśli wybrano opcję X, pokaż blok Y”. Dowód: app.js:160–181, 264–291 (brak score/risk/profile w kodzie).</w:t>
      </w:r>
    </w:p>
    <w:p>
      <w:pPr>
        <w:pStyle w:val="Heading2"/>
      </w:pPr>
      <w:r>
        <w:t>5.2. Analiza pomocnicza pod AI Act (do potwierdzenia przez prawnika)</w:t>
      </w:r>
    </w:p>
    <w:p>
      <w:r>
        <w:rPr>
          <w:b w:val="0"/>
          <w:i w:val="0"/>
        </w:rPr>
        <w:t>Rozporządzenie (UE) 2024/1689 (AI Act), art. 3 ust. 1, definiuje „system AI” jako system maszynowy, który — dla celów jawnych lub dorozumianych — WNIOSKUJE (infers) na podstawie danych wejściowych, jak generować wyniki (prognozy, treści, rekomendacje, decyzje), oraz może wykazywać zdolność adaptacji. Motyw 12 oraz wytyczne Komisji (luty 2025) wyłączają z tej definicji systemy oparte wyłącznie na regułach zdefiniowanych przez człowieka, które automatycznie wykonują operacje — klasyczne systemy regułowe bez zdolności „wnioskowania” w sensie uczenia maszynowego.</w:t>
      </w:r>
    </w:p>
    <w:p>
      <w:r>
        <w:rPr>
          <w:b/>
          <w:i w:val="0"/>
        </w:rPr>
        <w:t>HIGI: reguły napisane przez człowieka (arkusz), brak wnioskowania ML, brak adaptacji, brak autonomii (higienistka steruje całym przepływem). Nasz wniosek pomocniczy: silnik HIGI NIE spełnia definicji „systemu AI” i pozostaje poza zakresem AI Act — nie wymaga klasyfikacji ryzyka ani obowiązków z AI Act. Decyzja ostateczna należy do prawnika.</w:t>
      </w:r>
    </w:p>
    <w:p>
      <w:r>
        <w:rPr>
          <w:b w:val="0"/>
          <w:i/>
        </w:rPr>
        <w:t>Co mogłoby to zmienić: dodanie modelu ML/LLM do generowania lub personalizacji planu, automatyczna ocena ryzyka choroby, albo element uczący się na danych. Dopóki silnik pozostaje deterministycznym drzewem reguł — analiza się nie zmienia.</w:t>
      </w:r>
    </w:p>
    <w:p>
      <w:pPr>
        <w:pStyle w:val="Heading1"/>
      </w:pPr>
      <w:r>
        <w:t>6. Dane osobowe — analiza pod RODO</w:t>
      </w:r>
    </w:p>
    <w:p>
      <w:pPr>
        <w:pStyle w:val="Heading2"/>
      </w:pPr>
      <w:r>
        <w:t>6.1. Mapa danych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b/>
              </w:rPr>
              <w:t>Kategoria danych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Gdzie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Czy na serwerze?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Podstawa (wstępnie)</w:t>
            </w:r>
          </w:p>
        </w:tc>
      </w:tr>
      <w:tr>
        <w:tc>
          <w:tcPr>
            <w:tcW w:type="dxa" w:w="2160"/>
          </w:tcPr>
          <w:p>
            <w:r>
              <w:t>Odpowiedzi pacjenta + wygenerowany plan (dane o zdrowiu, art. 9)</w:t>
            </w:r>
          </w:p>
        </w:tc>
        <w:tc>
          <w:tcPr>
            <w:tcW w:type="dxa" w:w="2160"/>
          </w:tcPr>
          <w:p>
            <w:r>
              <w:t>Wyłącznie przeglądarka (pamięć lokalna)</w:t>
            </w:r>
          </w:p>
        </w:tc>
        <w:tc>
          <w:tcPr>
            <w:tcW w:type="dxa" w:w="2160"/>
          </w:tcPr>
          <w:p>
            <w:r>
              <w:t>NIE</w:t>
            </w:r>
          </w:p>
        </w:tc>
        <w:tc>
          <w:tcPr>
            <w:tcW w:type="dxa" w:w="2160"/>
          </w:tcPr>
          <w:p>
            <w:r>
              <w:t>Nie dotyczy serwera — dane nie są przez nas przetwarzane serwerowo</w:t>
            </w:r>
          </w:p>
        </w:tc>
      </w:tr>
      <w:tr>
        <w:tc>
          <w:tcPr>
            <w:tcW w:type="dxa" w:w="2160"/>
          </w:tcPr>
          <w:p>
            <w:r>
              <w:t>Imię pacjenta + data wizyty (wpisane przez higienistkę)</w:t>
            </w:r>
          </w:p>
        </w:tc>
        <w:tc>
          <w:tcPr>
            <w:tcW w:type="dxa" w:w="2160"/>
          </w:tcPr>
          <w:p>
            <w:r>
              <w:t>Wyłącznie przeglądarka (pamięć lokalna)</w:t>
            </w:r>
          </w:p>
        </w:tc>
        <w:tc>
          <w:tcPr>
            <w:tcW w:type="dxa" w:w="2160"/>
          </w:tcPr>
          <w:p>
            <w:r>
              <w:t>NIE</w:t>
            </w:r>
          </w:p>
        </w:tc>
        <w:tc>
          <w:tcPr>
            <w:tcW w:type="dxa" w:w="2160"/>
          </w:tcPr>
          <w:p>
            <w:r>
              <w:t>Pozostają u higienistki (administrator: gabinet/higienistka)</w:t>
            </w:r>
          </w:p>
        </w:tc>
      </w:tr>
      <w:tr>
        <w:tc>
          <w:tcPr>
            <w:tcW w:type="dxa" w:w="2160"/>
          </w:tcPr>
          <w:p>
            <w:r>
              <w:t>Konto higienistki: imię, e-mail</w:t>
            </w:r>
          </w:p>
        </w:tc>
        <w:tc>
          <w:tcPr>
            <w:tcW w:type="dxa" w:w="2160"/>
          </w:tcPr>
          <w:p>
            <w:r>
              <w:t>Serwer (D1) + Clerk</w:t>
            </w:r>
          </w:p>
        </w:tc>
        <w:tc>
          <w:tcPr>
            <w:tcW w:type="dxa" w:w="2160"/>
          </w:tcPr>
          <w:p>
            <w:r>
              <w:t>TAK</w:t>
            </w:r>
          </w:p>
        </w:tc>
        <w:tc>
          <w:tcPr>
            <w:tcW w:type="dxa" w:w="2160"/>
          </w:tcPr>
          <w:p>
            <w:r>
              <w:t>art. 6 ust. 1 lit. b (umowa o świadczenie usługi)</w:t>
            </w:r>
          </w:p>
        </w:tc>
      </w:tr>
      <w:tr>
        <w:tc>
          <w:tcPr>
            <w:tcW w:type="dxa" w:w="2160"/>
          </w:tcPr>
          <w:p>
            <w:r>
              <w:t>Gabinet: nazwa, adres, NIP (do faktury / anty-abuse)</w:t>
            </w:r>
          </w:p>
        </w:tc>
        <w:tc>
          <w:tcPr>
            <w:tcW w:type="dxa" w:w="2160"/>
          </w:tcPr>
          <w:p>
            <w:r>
              <w:t>Serwer (D1)</w:t>
            </w:r>
          </w:p>
        </w:tc>
        <w:tc>
          <w:tcPr>
            <w:tcW w:type="dxa" w:w="2160"/>
          </w:tcPr>
          <w:p>
            <w:r>
              <w:t>TAK (dev)</w:t>
            </w:r>
          </w:p>
        </w:tc>
        <w:tc>
          <w:tcPr>
            <w:tcW w:type="dxa" w:w="2160"/>
          </w:tcPr>
          <w:p>
            <w:r>
              <w:t>art. 6 ust. 1 lit. c (obowiązek podatkowy) + lit. f (uzasadniony interes — przeciwdziałanie nadużyciom)</w:t>
            </w:r>
          </w:p>
        </w:tc>
      </w:tr>
      <w:tr>
        <w:tc>
          <w:tcPr>
            <w:tcW w:type="dxa" w:w="2160"/>
          </w:tcPr>
          <w:p>
            <w:r>
              <w:t>Telefon higienistki solo (weryfikacja tożsamości + anty-abuse)</w:t>
            </w:r>
          </w:p>
        </w:tc>
        <w:tc>
          <w:tcPr>
            <w:tcW w:type="dxa" w:w="2160"/>
          </w:tcPr>
          <w:p>
            <w:r>
              <w:t>Clerk (weryfikacja SMS/OTP) + serwer (D1, tabela trial_anchor: znormalizowany numer E.164)</w:t>
            </w:r>
          </w:p>
        </w:tc>
        <w:tc>
          <w:tcPr>
            <w:tcW w:type="dxa" w:w="2160"/>
          </w:tcPr>
          <w:p>
            <w:r>
              <w:t>TAK (dev, planowane)</w:t>
            </w:r>
          </w:p>
        </w:tc>
        <w:tc>
          <w:tcPr>
            <w:tcW w:type="dxa" w:w="2160"/>
          </w:tcPr>
          <w:p>
            <w:r>
              <w:t>art. 6 ust. 1 lit. b (dostęp do usługi) + lit. f (przeciwdziałanie nadużyciom)</w:t>
            </w:r>
          </w:p>
        </w:tc>
      </w:tr>
      <w:tr>
        <w:tc>
          <w:tcPr>
            <w:tcW w:type="dxa" w:w="2160"/>
          </w:tcPr>
          <w:p>
            <w:r>
              <w:t>Treść szablonów ankiet/planów tworzona przez higienistkę</w:t>
            </w:r>
          </w:p>
        </w:tc>
        <w:tc>
          <w:tcPr>
            <w:tcW w:type="dxa" w:w="2160"/>
          </w:tcPr>
          <w:p>
            <w:r>
              <w:t>Serwer (D1)</w:t>
            </w:r>
          </w:p>
        </w:tc>
        <w:tc>
          <w:tcPr>
            <w:tcW w:type="dxa" w:w="2160"/>
          </w:tcPr>
          <w:p>
            <w:r>
              <w:t>TAK (dev)</w:t>
            </w:r>
          </w:p>
        </w:tc>
        <w:tc>
          <w:tcPr>
            <w:tcW w:type="dxa" w:w="2160"/>
          </w:tcPr>
          <w:p>
            <w:r>
              <w:t>art. 6 ust. 1 lit. b (świadczenie usługi)</w:t>
            </w:r>
          </w:p>
        </w:tc>
      </w:tr>
      <w:tr>
        <w:tc>
          <w:tcPr>
            <w:tcW w:type="dxa" w:w="2160"/>
          </w:tcPr>
          <w:p>
            <w:r>
              <w:t>Dane techniczne: identyfikatory Clerk/Stripe, sesje, audyt</w:t>
            </w:r>
          </w:p>
        </w:tc>
        <w:tc>
          <w:tcPr>
            <w:tcW w:type="dxa" w:w="2160"/>
          </w:tcPr>
          <w:p>
            <w:r>
              <w:t>Serwer (D1/KV) + Clerk/Stripe</w:t>
            </w:r>
          </w:p>
        </w:tc>
        <w:tc>
          <w:tcPr>
            <w:tcW w:type="dxa" w:w="2160"/>
          </w:tcPr>
          <w:p>
            <w:r>
              <w:t>TAK</w:t>
            </w:r>
          </w:p>
        </w:tc>
        <w:tc>
          <w:tcPr>
            <w:tcW w:type="dxa" w:w="2160"/>
          </w:tcPr>
          <w:p>
            <w:r>
              <w:t>art. 6 ust. 1 lit. b/f</w:t>
            </w:r>
          </w:p>
        </w:tc>
      </w:tr>
      <w:tr>
        <w:tc>
          <w:tcPr>
            <w:tcW w:type="dxa" w:w="2160"/>
          </w:tcPr>
          <w:p>
            <w:r>
              <w:t>Logi maili (do higienistek/gabinetów, nie pacjentów)</w:t>
            </w:r>
          </w:p>
        </w:tc>
        <w:tc>
          <w:tcPr>
            <w:tcW w:type="dxa" w:w="2160"/>
          </w:tcPr>
          <w:p>
            <w:r>
              <w:t>Serwer (D1) + Resend</w:t>
            </w:r>
          </w:p>
        </w:tc>
        <w:tc>
          <w:tcPr>
            <w:tcW w:type="dxa" w:w="2160"/>
          </w:tcPr>
          <w:p>
            <w:r>
              <w:t>TAK (dev)</w:t>
            </w:r>
          </w:p>
        </w:tc>
        <w:tc>
          <w:tcPr>
            <w:tcW w:type="dxa" w:w="2160"/>
          </w:tcPr>
          <w:p>
            <w:r>
              <w:t>art. 6 ust. 1 lit. b/f</w:t>
            </w:r>
          </w:p>
        </w:tc>
      </w:tr>
    </w:tbl>
    <w:p>
      <w:pPr>
        <w:pStyle w:val="Heading2"/>
      </w:pPr>
      <w:r>
        <w:t>6.2. Dane szczególnej kategorii (art. 9 — zdrowie)</w:t>
      </w:r>
    </w:p>
    <w:p>
      <w:r>
        <w:rPr>
          <w:b w:val="0"/>
          <w:i w:val="0"/>
        </w:rPr>
        <w:t>Najtrudniejsza część RODO — dane o zdrowiu pacjenta — NIE jest przetwarzana po stronie serwera HIGI. Odpowiedzi ankiety i plan żyją tylko w przeglądarce higienistki. Żadna tabela bazy danych nie przechowuje danych pacjenta (zweryfikowano w 8 migracjach schematu — sekcja 10). To architektonicznie wycina obowiązki związane z art. 9 po stronie operatora aplikacji (brak rejestru czynności na danych zdrowotnych, brak DPIA dla danych pacjenta, brak powierzenia danych zdrowotnych pacjenta podprocesorom).</w:t>
      </w:r>
    </w:p>
    <w:p>
      <w:r>
        <w:rPr>
          <w:b w:val="0"/>
          <w:i/>
        </w:rPr>
        <w:t>Administratorem danych pacjenta (które higienistka trzyma lokalnie) jest higienistka/gabinet w ramach własnej praktyki, nie HIGI. To do potwierdzenia w umowie/regulaminie przez prawnika.</w:t>
      </w:r>
    </w:p>
    <w:p>
      <w:pPr>
        <w:pStyle w:val="Heading2"/>
      </w:pPr>
      <w:r>
        <w:t>6.3. Administrator i podprocesorzy</w:t>
      </w:r>
    </w:p>
    <w:p>
      <w:r>
        <w:rPr>
          <w:b w:val="0"/>
          <w:i w:val="0"/>
        </w:rPr>
        <w:t>Administrator danych konta: operator HIGI. Podprocesorzy i co widzą: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/>
            <w:r>
              <w:rPr>
                <w:b/>
              </w:rPr>
              <w:t>Podprocesor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Funkcja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Jakie dane widzi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Transfer / lokalizacja</w:t>
            </w:r>
          </w:p>
        </w:tc>
      </w:tr>
      <w:tr>
        <w:tc>
          <w:tcPr>
            <w:tcW w:type="dxa" w:w="2160"/>
          </w:tcPr>
          <w:p>
            <w:r>
              <w:t>Cloudflare</w:t>
            </w:r>
          </w:p>
        </w:tc>
        <w:tc>
          <w:tcPr>
            <w:tcW w:type="dxa" w:w="2160"/>
          </w:tcPr>
          <w:p>
            <w:r>
              <w:t>Hosting, Workers, baza D1, KV, Pages</w:t>
            </w:r>
          </w:p>
        </w:tc>
        <w:tc>
          <w:tcPr>
            <w:tcW w:type="dxa" w:w="2160"/>
          </w:tcPr>
          <w:p>
            <w:r>
              <w:t>Dane konta/gabinetu, treści szablonów, logi</w:t>
            </w:r>
          </w:p>
        </w:tc>
        <w:tc>
          <w:tcPr>
            <w:tcW w:type="dxa" w:w="2160"/>
          </w:tcPr>
          <w:p>
            <w:r>
              <w:t>D1: region Europa Wschodnia, bez twardej blokady UE; KV: globalny; firma USA — DPA + SCC (patrz 6.6)</w:t>
            </w:r>
          </w:p>
        </w:tc>
      </w:tr>
      <w:tr>
        <w:tc>
          <w:tcPr>
            <w:tcW w:type="dxa" w:w="2160"/>
          </w:tcPr>
          <w:p>
            <w:r>
              <w:t>Clerk</w:t>
            </w:r>
          </w:p>
        </w:tc>
        <w:tc>
          <w:tcPr>
            <w:tcW w:type="dxa" w:w="2160"/>
          </w:tcPr>
          <w:p>
            <w:r>
              <w:t>Logowanie, tożsamość, organizacje, weryfikacja telefonu (SMS/OTP)</w:t>
            </w:r>
          </w:p>
        </w:tc>
        <w:tc>
          <w:tcPr>
            <w:tcW w:type="dxa" w:w="2160"/>
          </w:tcPr>
          <w:p>
            <w:r>
              <w:t>E-mail, imię, identyfikator, rola, struktura gabinetu, numer telefonu (przy weryfikacji solo)</w:t>
            </w:r>
          </w:p>
        </w:tc>
        <w:tc>
          <w:tcPr>
            <w:tcW w:type="dxa" w:w="2160"/>
          </w:tcPr>
          <w:p>
            <w:r>
              <w:t>USA — DPF/SCC + DPA</w:t>
            </w:r>
          </w:p>
        </w:tc>
      </w:tr>
      <w:tr>
        <w:tc>
          <w:tcPr>
            <w:tcW w:type="dxa" w:w="2160"/>
          </w:tcPr>
          <w:p>
            <w:r>
              <w:t>Stripe</w:t>
            </w:r>
          </w:p>
        </w:tc>
        <w:tc>
          <w:tcPr>
            <w:tcW w:type="dxa" w:w="2160"/>
          </w:tcPr>
          <w:p>
            <w:r>
              <w:t>Płatności (nieaktywne na prod)</w:t>
            </w:r>
          </w:p>
        </w:tc>
        <w:tc>
          <w:tcPr>
            <w:tcW w:type="dxa" w:w="2160"/>
          </w:tcPr>
          <w:p>
            <w:r>
              <w:t>Dane rozliczeniowe, identyfikator klienta</w:t>
            </w:r>
          </w:p>
        </w:tc>
        <w:tc>
          <w:tcPr>
            <w:tcW w:type="dxa" w:w="2160"/>
          </w:tcPr>
          <w:p>
            <w:r>
              <w:t>USA — DPF/SCC + DPA</w:t>
            </w:r>
          </w:p>
        </w:tc>
      </w:tr>
      <w:tr>
        <w:tc>
          <w:tcPr>
            <w:tcW w:type="dxa" w:w="2160"/>
          </w:tcPr>
          <w:p>
            <w:r>
              <w:t>Resend</w:t>
            </w:r>
          </w:p>
        </w:tc>
        <w:tc>
          <w:tcPr>
            <w:tcW w:type="dxa" w:w="2160"/>
          </w:tcPr>
          <w:p>
            <w:r>
              <w:t>Maile transakcyjne (dev, tryb próbny)</w:t>
            </w:r>
          </w:p>
        </w:tc>
        <w:tc>
          <w:tcPr>
            <w:tcW w:type="dxa" w:w="2160"/>
          </w:tcPr>
          <w:p>
            <w:r>
              <w:t>E-mail higienistki/gabinetu + treść maila</w:t>
            </w:r>
          </w:p>
        </w:tc>
        <w:tc>
          <w:tcPr>
            <w:tcW w:type="dxa" w:w="2160"/>
          </w:tcPr>
          <w:p>
            <w:r>
              <w:t>USA — DPF/SCC + DPA</w:t>
            </w:r>
          </w:p>
        </w:tc>
      </w:tr>
    </w:tbl>
    <w:p>
      <w:pPr>
        <w:pStyle w:val="Heading2"/>
      </w:pPr>
      <w:r>
        <w:t>6.4. Do zrobienia / do potwierdzenia z prawnikiem</w:t>
      </w:r>
    </w:p>
    <w:p>
      <w:pPr>
        <w:pStyle w:val="ListBullet"/>
      </w:pPr>
      <w:r>
        <w:t>Umowy powierzenia (DPA) z Cloudflare, Clerk, Stripe, Resend + wpis do rejestru czynności przetwarzania (art. 30).</w:t>
      </w:r>
    </w:p>
    <w:p>
      <w:pPr>
        <w:pStyle w:val="ListBullet"/>
      </w:pPr>
      <w:r>
        <w:t>Polityka prywatności wymieniająca podprocesorów i transfery do USA (DPF/SCC).</w:t>
      </w:r>
    </w:p>
    <w:p>
      <w:pPr>
        <w:pStyle w:val="ListBullet"/>
      </w:pPr>
      <w:r>
        <w:t>Klauzula informacyjna i ocena uzasadnionego interesu (test równowagi) dla przechowywania NIP — projekt klauzuli już przygotowany (osobny dokument: KLAUZULA-RODO-NIP).</w:t>
      </w:r>
    </w:p>
    <w:p>
      <w:pPr>
        <w:pStyle w:val="ListBullet"/>
      </w:pPr>
      <w:r>
        <w:t>Okresy retencji: NIP/faktury — zgodnie z prawem podatkowym (zasadniczo 5 lat); audyt — do ustalenia polityki czyszczenia.</w:t>
      </w:r>
    </w:p>
    <w:p>
      <w:pPr>
        <w:pStyle w:val="ListBullet"/>
      </w:pPr>
      <w:r>
        <w:t>Potwierdzenie roli: HIGI = administrator danych konta; higienistka/gabinet = administrator danych pacjenta (które trzyma lokalnie).</w:t>
      </w:r>
    </w:p>
    <w:p>
      <w:pPr>
        <w:pStyle w:val="Heading2"/>
      </w:pPr>
      <w:r>
        <w:t>6.5. Weryfikacja tożsamości i przeciwdziałanie nadużyciom (telefon + NIP)</w:t>
      </w:r>
    </w:p>
    <w:p>
      <w:r>
        <w:rPr>
          <w:b w:val="0"/>
          <w:i w:val="0"/>
        </w:rPr>
        <w:t>Aby jeden podmiot nie zakładał wielu kont w celu wielokrotnego wykorzystania darmowego okresu, HIGI stosuje model „jednej kotwicy” — różny dla dwóch typów klienta. To świadoma decyzja o przetwarzaniu danych, istotna dla oceny RODO.</w:t>
      </w:r>
    </w:p>
    <w:p>
      <w:r>
        <w:rPr>
          <w:b/>
          <w:i w:val="0"/>
        </w:rPr>
        <w:t>Higienistka solo — kotwica = numer telefonu:</w:t>
      </w:r>
    </w:p>
    <w:p>
      <w:pPr>
        <w:pStyle w:val="ListBullet"/>
      </w:pPr>
      <w:r>
        <w:rPr>
          <w:b/>
        </w:rPr>
        <w:t>Mechanizm:</w:t>
      </w:r>
      <w:r>
        <w:t xml:space="preserve"> weryfikacja numeru kodem SMS (jednorazowy kod) realizowana przez Clerk. Clerk przechowuje numer i potwierdza jego poprawność; nasz serwer odczytuje status „zweryfikowany”.</w:t>
      </w:r>
    </w:p>
    <w:p>
      <w:pPr>
        <w:pStyle w:val="ListBullet"/>
      </w:pPr>
      <w:r>
        <w:rPr>
          <w:b/>
        </w:rPr>
        <w:t>Zasada dostępu:</w:t>
      </w:r>
      <w:r>
        <w:t xml:space="preserve"> jeśli numer nie został potwierdzony, konto NIE otrzymuje darmowego dostępu (decyzja produktowa — wariant „twardy”). To zabezpieczenie przed zakładaniem wielu kont na ten sam numer.</w:t>
      </w:r>
    </w:p>
    <w:p>
      <w:pPr>
        <w:pStyle w:val="ListBullet"/>
      </w:pPr>
      <w:r>
        <w:rPr>
          <w:b/>
        </w:rPr>
        <w:t>Co trafia na serwer:</w:t>
      </w:r>
      <w:r>
        <w:t xml:space="preserve"> w naszej bazie (tabela trial_anchor) zapisywany jest ZNORMALIZOWANY numer w formacie międzynarodowym (E.164, np. +48XXXXXXXXX) jako klucz „jeden numer = jeden darmowy okres”, powiązany z kontem. UWAGA dla prawnika: numer jest przechowywany w postaci jawnej (nie zahaszowany) — do rozważenia, czy dla minimalizacji danych nie zapisywać wyłącznie skrótu (hash) numeru. To punkt do decyzji prawnika/IOD.</w:t>
      </w:r>
    </w:p>
    <w:p>
      <w:pPr>
        <w:pStyle w:val="ListBullet"/>
      </w:pPr>
      <w:r>
        <w:rPr>
          <w:b/>
        </w:rPr>
        <w:t>Podstawa:</w:t>
      </w:r>
      <w:r>
        <w:t xml:space="preserve"> art. 6 ust. 1 lit. b (umowa — udostępnienie usługi/okresu próbnego po weryfikacji) oraz lit. f (uzasadniony interes — przeciwdziałanie nadużyciom). Wymaga klauzuli informacyjnej i testu równowagi.</w:t>
      </w:r>
    </w:p>
    <w:p>
      <w:pPr>
        <w:pStyle w:val="ListBullet"/>
      </w:pPr>
      <w:r>
        <w:rPr>
          <w:b/>
        </w:rPr>
        <w:t>Status:</w:t>
      </w:r>
      <w:r>
        <w:t xml:space="preserve"> funkcja jest PRZYGOTOWANA, ale NIEAKTYWNA — flaga wyłączona, czeka na konfigurację SMS w Clerk. Na produkcji weryfikacja telefonu jeszcze nie działa.</w:t>
      </w:r>
    </w:p>
    <w:p>
      <w:r>
        <w:rPr>
          <w:b/>
          <w:i w:val="0"/>
        </w:rPr>
        <w:t>Gabinet — kotwica = NIP:</w:t>
      </w:r>
    </w:p>
    <w:p>
      <w:pPr>
        <w:pStyle w:val="ListBullet"/>
      </w:pPr>
      <w:r>
        <w:rPr>
          <w:b/>
        </w:rPr>
        <w:t>Mechanizm:</w:t>
      </w:r>
      <w:r>
        <w:t xml:space="preserve"> NIP identyfikuje gabinet (osobę prawną/działalność) i służy jednocześnie jako kotwica „jeden NIP = jeden darmowy okres” (unikalny indeks w bazie) oraz jako dana do faktury. Podstawa: art. 6 ust. 1 lit. c (obowiązek podatkowy) + lit. f (anty-abuse). Projekt klauzuli informacyjnej dla NIP jest przygotowany (osobny dokument KLAUZULA-RODO-NIP).</w:t>
      </w:r>
    </w:p>
    <w:p>
      <w:r>
        <w:rPr>
          <w:b w:val="0"/>
          <w:i/>
        </w:rPr>
        <w:t>Podsumowanie: telefon (solo) i NIP (gabinet) to dwie różne kotwice tego samego mechanizmu anty-abuse. Oba to dane osobowe / dane identyfikujące i oba wymagają podstawy prawnej oraz klauzuli informacyjnej — do potwierdzenia przez prawnika.</w:t>
      </w:r>
    </w:p>
    <w:p>
      <w:pPr>
        <w:pStyle w:val="Heading2"/>
      </w:pPr>
      <w:r>
        <w:t>6.6. Rezydencja danych — gdzie fizycznie leżą dane (zweryfikowane 25.06.2026)</w:t>
      </w:r>
    </w:p>
    <w:p>
      <w:r>
        <w:rPr>
          <w:b w:val="0"/>
          <w:i w:val="0"/>
        </w:rPr>
        <w:t>Zweryfikowaliśmy, w jakim regionie każdy system faktycznie przechowuje dane — z konfiguracji (nasza baza) i z aktualnej dokumentacji dostawców (źródła na końcu sekcji). Najważniejszy wniosek na wstępie:</w:t>
      </w:r>
    </w:p>
    <w:p>
      <w:pPr>
        <w:pStyle w:val="ListBullet"/>
      </w:pPr>
      <w:r>
        <w:rPr>
          <w:b/>
        </w:rPr>
        <w:t>Krótko:</w:t>
      </w:r>
      <w:r>
        <w:t xml:space="preserve"> żaden system nie przechowuje danych „tylko w Polsce”. Dane konta są dziś w regionie Cloudflare „Europa Wschodnia” (UE), tożsamość/logowanie (Clerk) fizycznie w USA, a dane pacjenta — nigdzie na serwerze (tylko w przeglądarce).</w:t>
      </w:r>
    </w:p>
    <w:p>
      <w:r>
        <w:rPr>
          <w:b/>
          <w:i w:val="0"/>
        </w:rPr>
        <w:t>Tabela rezydencji: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b/>
              </w:rPr>
              <w:t>System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Jakie dane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Gdzie fizycznie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W UE?</w:t>
            </w:r>
          </w:p>
        </w:tc>
        <w:tc>
          <w:tcPr>
            <w:tcW w:type="dxa" w:w="1728"/>
          </w:tcPr>
          <w:p>
            <w:r/>
            <w:r>
              <w:rPr>
                <w:b/>
              </w:rPr>
              <w:t>Jak wymusić UE / uwaga</w:t>
            </w:r>
          </w:p>
        </w:tc>
      </w:tr>
      <w:tr>
        <w:tc>
          <w:tcPr>
            <w:tcW w:type="dxa" w:w="1728"/>
          </w:tcPr>
          <w:p>
            <w:r>
              <w:t>Cloudflare D1</w:t>
            </w:r>
          </w:p>
        </w:tc>
        <w:tc>
          <w:tcPr>
            <w:tcW w:type="dxa" w:w="1728"/>
          </w:tcPr>
          <w:p>
            <w:r>
              <w:t>Konto, NIP, kotwica-telefon, szablony</w:t>
            </w:r>
          </w:p>
        </w:tc>
        <w:tc>
          <w:tcPr>
            <w:tcW w:type="dxa" w:w="1728"/>
          </w:tcPr>
          <w:p>
            <w:r>
              <w:t>Region „Europa Wschodnia” (EEUR)</w:t>
            </w:r>
          </w:p>
        </w:tc>
        <w:tc>
          <w:tcPr>
            <w:tcW w:type="dxa" w:w="1728"/>
          </w:tcPr>
          <w:p>
            <w:r>
              <w:t>Dziś TAK (geograficznie), ale BEZ twardej blokady (jurisdiction=null)</w:t>
            </w:r>
          </w:p>
        </w:tc>
        <w:tc>
          <w:tcPr>
            <w:tcW w:type="dxa" w:w="1728"/>
          </w:tcPr>
          <w:p>
            <w:r>
              <w:t>Odtworzyć bazę z jurisdiction='eu' (tylko przy tworzeniu, nieodwracalne) — twarda gwarancja UE</w:t>
            </w:r>
          </w:p>
        </w:tc>
      </w:tr>
      <w:tr>
        <w:tc>
          <w:tcPr>
            <w:tcW w:type="dxa" w:w="1728"/>
          </w:tcPr>
          <w:p>
            <w:r>
              <w:t>Cloudflare KV</w:t>
            </w:r>
          </w:p>
        </w:tc>
        <w:tc>
          <w:tcPr>
            <w:tcW w:type="dxa" w:w="1728"/>
          </w:tcPr>
          <w:p>
            <w:r>
              <w:t>Snapshot treści, cache</w:t>
            </w:r>
          </w:p>
        </w:tc>
        <w:tc>
          <w:tcPr>
            <w:tcW w:type="dxa" w:w="1728"/>
          </w:tcPr>
          <w:p>
            <w:r>
              <w:t>Globalnie (replikacja na cały świat)</w:t>
            </w:r>
          </w:p>
        </w:tc>
        <w:tc>
          <w:tcPr>
            <w:tcW w:type="dxa" w:w="1728"/>
          </w:tcPr>
          <w:p>
            <w:r>
              <w:t>NIE (z założenia globalny)</w:t>
            </w:r>
          </w:p>
        </w:tc>
        <w:tc>
          <w:tcPr>
            <w:tcW w:type="dxa" w:w="1728"/>
          </w:tcPr>
          <w:p>
            <w:r>
              <w:t>Brak opcji UE — NIE trzymać tam danych osobowych (trzymać je w D1)</w:t>
            </w:r>
          </w:p>
        </w:tc>
      </w:tr>
      <w:tr>
        <w:tc>
          <w:tcPr>
            <w:tcW w:type="dxa" w:w="1728"/>
          </w:tcPr>
          <w:p>
            <w:r>
              <w:t>Cloudflare Workers</w:t>
            </w:r>
          </w:p>
        </w:tc>
        <w:tc>
          <w:tcPr>
            <w:tcW w:type="dxa" w:w="1728"/>
          </w:tcPr>
          <w:p>
            <w:r>
              <w:t>Przetwarzanie przejściowe (nic nie składuje)</w:t>
            </w:r>
          </w:p>
        </w:tc>
        <w:tc>
          <w:tcPr>
            <w:tcW w:type="dxa" w:w="1728"/>
          </w:tcPr>
          <w:p>
            <w:r>
              <w:t>Brzeg sieci najbliżej użytkownika</w:t>
            </w:r>
          </w:p>
        </w:tc>
        <w:tc>
          <w:tcPr>
            <w:tcW w:type="dxa" w:w="1728"/>
          </w:tcPr>
          <w:p>
            <w:r>
              <w:t>ZALEŻY — dla higienistek z PL przetwarzanie w UE</w:t>
            </w:r>
          </w:p>
        </w:tc>
        <w:tc>
          <w:tcPr>
            <w:tcW w:type="dxa" w:w="1728"/>
          </w:tcPr>
          <w:p>
            <w:r>
              <w:t>Regional Services (Enterprise) — dotyczy ruchu, nie składowania</w:t>
            </w:r>
          </w:p>
        </w:tc>
      </w:tr>
      <w:tr>
        <w:tc>
          <w:tcPr>
            <w:tcW w:type="dxa" w:w="1728"/>
          </w:tcPr>
          <w:p>
            <w:r>
              <w:t>Cloudflare Pages</w:t>
            </w:r>
          </w:p>
        </w:tc>
        <w:tc>
          <w:tcPr>
            <w:tcW w:type="dxa" w:w="1728"/>
          </w:tcPr>
          <w:p>
            <w:r>
              <w:t>Statyczny front (bez danych osobowych)</w:t>
            </w:r>
          </w:p>
        </w:tc>
        <w:tc>
          <w:tcPr>
            <w:tcW w:type="dxa" w:w="1728"/>
          </w:tcPr>
          <w:p>
            <w:r>
              <w:t>Globalny CDN</w:t>
            </w:r>
          </w:p>
        </w:tc>
        <w:tc>
          <w:tcPr>
            <w:tcW w:type="dxa" w:w="1728"/>
          </w:tcPr>
          <w:p>
            <w:r>
              <w:t>Bez znaczenia (brak danych osobowych)</w:t>
            </w:r>
          </w:p>
        </w:tc>
        <w:tc>
          <w:tcPr>
            <w:tcW w:type="dxa" w:w="1728"/>
          </w:tcPr>
          <w:p>
            <w:r>
              <w:t>n/d</w:t>
            </w:r>
          </w:p>
        </w:tc>
      </w:tr>
      <w:tr>
        <w:tc>
          <w:tcPr>
            <w:tcW w:type="dxa" w:w="1728"/>
          </w:tcPr>
          <w:p>
            <w:r>
              <w:t>Clerk</w:t>
            </w:r>
          </w:p>
        </w:tc>
        <w:tc>
          <w:tcPr>
            <w:tcW w:type="dxa" w:w="1728"/>
          </w:tcPr>
          <w:p>
            <w:r>
              <w:t>Logowanie: e-mail, imię, hasło, telefon (weryfikacja)</w:t>
            </w:r>
          </w:p>
        </w:tc>
        <w:tc>
          <w:tcPr>
            <w:tcW w:type="dxa" w:w="1728"/>
          </w:tcPr>
          <w:p>
            <w:r>
              <w:t>USA (San Francisco; chmura GCP w USA)</w:t>
            </w:r>
          </w:p>
        </w:tc>
        <w:tc>
          <w:tcPr>
            <w:tcW w:type="dxa" w:w="1728"/>
          </w:tcPr>
          <w:p>
            <w:r>
              <w:t>NIE — w USA</w:t>
            </w:r>
          </w:p>
        </w:tc>
        <w:tc>
          <w:tcPr>
            <w:tcW w:type="dxa" w:w="1728"/>
          </w:tcPr>
          <w:p>
            <w:r>
              <w:t>Brak opcji UE na ŻADNYM planie; transfer na DPF + SCC + DPA</w:t>
            </w:r>
          </w:p>
        </w:tc>
      </w:tr>
      <w:tr>
        <w:tc>
          <w:tcPr>
            <w:tcW w:type="dxa" w:w="1728"/>
          </w:tcPr>
          <w:p>
            <w:r>
              <w:t>Stripe (NIEAKTYWNE)</w:t>
            </w:r>
          </w:p>
        </w:tc>
        <w:tc>
          <w:tcPr>
            <w:tcW w:type="dxa" w:w="1728"/>
          </w:tcPr>
          <w:p>
            <w:r>
              <w:t>Dane rozliczeniowe (gdy włączone)</w:t>
            </w:r>
          </w:p>
        </w:tc>
        <w:tc>
          <w:tcPr>
            <w:tcW w:type="dxa" w:w="1728"/>
          </w:tcPr>
          <w:p>
            <w:r>
              <w:t>USA (rdzeń Stripe LLC); kontrakt przez Irlandię</w:t>
            </w:r>
          </w:p>
        </w:tc>
        <w:tc>
          <w:tcPr>
            <w:tcW w:type="dxa" w:w="1728"/>
          </w:tcPr>
          <w:p>
            <w:r>
              <w:t>NIE (rdzeń w USA)</w:t>
            </w:r>
          </w:p>
        </w:tc>
        <w:tc>
          <w:tcPr>
            <w:tcW w:type="dxa" w:w="1728"/>
          </w:tcPr>
          <w:p>
            <w:r>
              <w:t>Brak opcji UE; nadzór: irlandzki DPC; DPF + SCC</w:t>
            </w:r>
          </w:p>
        </w:tc>
      </w:tr>
      <w:tr>
        <w:tc>
          <w:tcPr>
            <w:tcW w:type="dxa" w:w="1728"/>
          </w:tcPr>
          <w:p>
            <w:r>
              <w:t>Resend (NIEAKTYWNE)</w:t>
            </w:r>
          </w:p>
        </w:tc>
        <w:tc>
          <w:tcPr>
            <w:tcW w:type="dxa" w:w="1728"/>
          </w:tcPr>
          <w:p>
            <w:r>
              <w:t>E-mail higienistki + treść maila (gdy włączone)</w:t>
            </w:r>
          </w:p>
        </w:tc>
        <w:tc>
          <w:tcPr>
            <w:tcW w:type="dxa" w:w="1728"/>
          </w:tcPr>
          <w:p>
            <w:r>
              <w:t>USA (AWS w USA)</w:t>
            </w:r>
          </w:p>
        </w:tc>
        <w:tc>
          <w:tcPr>
            <w:tcW w:type="dxa" w:w="1728"/>
          </w:tcPr>
          <w:p>
            <w:r>
              <w:t>NIE — w USA</w:t>
            </w:r>
          </w:p>
        </w:tc>
        <w:tc>
          <w:tcPr>
            <w:tcW w:type="dxa" w:w="1728"/>
          </w:tcPr>
          <w:p>
            <w:r>
              <w:t>Region wysyłki ≠ miejsce składowania; brak rezydencji UE; DPF + SCC</w:t>
            </w:r>
          </w:p>
        </w:tc>
      </w:tr>
    </w:tbl>
    <w:p>
      <w:r>
        <w:rPr>
          <w:b/>
          <w:i w:val="0"/>
        </w:rPr>
        <w:t>Wnioski i rekomendacje (do decyzji prawnika / Bartosza):</w:t>
      </w:r>
    </w:p>
    <w:p>
      <w:pPr>
        <w:pStyle w:val="ListBullet"/>
      </w:pPr>
      <w:r>
        <w:rPr>
          <w:b/>
        </w:rPr>
        <w:t>(1) D1 — utwardzić rezydencję:</w:t>
      </w:r>
      <w:r>
        <w:t xml:space="preserve"> dane konta (w tym NIP i kotwica-telefon) są dziś w UE z preferencji lokalizacji, ale Cloudflare nie zobowiązał się umownie utrzymać ich w UE. Aby uzyskać twardą gwarancję RODO, rozważyć odtworzenie bazy D1 z jurisdiction='eu' (decyzja nieodwracalna — nowa baza + migracja danych).</w:t>
      </w:r>
    </w:p>
    <w:p>
      <w:pPr>
        <w:pStyle w:val="ListBullet"/>
      </w:pPr>
      <w:r>
        <w:rPr>
          <w:b/>
        </w:rPr>
        <w:t>(2) KV — nie dla danych osobowych:</w:t>
      </w:r>
      <w:r>
        <w:t xml:space="preserve"> KV jest globalny i nie da się go zamknąć w UE. Trzymać w nim wyłącznie dane nie-osobowe (publiczny snapshot treści), a wszystkie dane osobowe w D1.</w:t>
      </w:r>
    </w:p>
    <w:p>
      <w:pPr>
        <w:pStyle w:val="ListBullet"/>
      </w:pPr>
      <w:r>
        <w:rPr>
          <w:b/>
        </w:rPr>
        <w:t>(3) Clerk — USA:</w:t>
      </w:r>
      <w:r>
        <w:t xml:space="preserve"> logowanie przechowuje dane (w tym numer telefonu z weryfikacji) w USA bez opcji rezydencji UE. Albo akceptujemy transfer do USA na DPF + SCC (standard), albo — jeśli wymagana jest rezydencja wyłącznie w UE — rozważyć dostawcę tożsamości z europejską rezydencją. To decyzja prawno-biznesowa.</w:t>
      </w:r>
    </w:p>
    <w:p>
      <w:pPr>
        <w:pStyle w:val="ListBullet"/>
      </w:pPr>
      <w:r>
        <w:rPr>
          <w:b/>
        </w:rPr>
        <w:t>(4) Stripe / Resend — przy włączeniu:</w:t>
      </w:r>
      <w:r>
        <w:t xml:space="preserve"> oba to firmy z USA, dane w USA. Dziś nieaktywne (Stripe wyłączony, Resend w trybie próbnym — nic nie wychodzi). Przed włączeniem: podpisać DPA, opisać transfer w polityce prywatności (DPF + SCC).</w:t>
      </w:r>
    </w:p>
    <w:p>
      <w:pPr>
        <w:pStyle w:val="ListBullet"/>
      </w:pPr>
      <w:r>
        <w:rPr>
          <w:b/>
        </w:rPr>
        <w:t>(5) Podstawa transferów do USA:</w:t>
      </w:r>
      <w:r>
        <w:t xml:space="preserve"> wszyscy czterej dostawcy to firmy z USA podlegające m.in. CLOUD Act. Podstawą transferów EU→USA są: certyfikacja EU-U.S. Data Privacy Framework (DPF) + Standardowe Klauzule Umowne (SCC) + umowy powierzenia (DPA). To standardowa, akceptowalna podstawa — wymaga udokumentowania w rejestrze czynności i polityce prywatności.</w:t>
      </w:r>
    </w:p>
    <w:p>
      <w:pPr>
        <w:pStyle w:val="Heading1"/>
      </w:pPr>
      <w:r>
        <w:t>7. Bezpieczeństwo i dostęp</w:t>
      </w:r>
    </w:p>
    <w:p>
      <w:pPr>
        <w:pStyle w:val="ListBullet"/>
      </w:pPr>
      <w:r>
        <w:rPr>
          <w:b/>
        </w:rPr>
        <w:t>Uwierzytelnianie:</w:t>
      </w:r>
      <w:r>
        <w:t xml:space="preserve"> logowanie przez Clerk, token JWT podpisany RS256, weryfikowany na serwerze przez publiczny klucz (JWKS). Każdy endpoint API wymaga ważnego tokenu.</w:t>
      </w:r>
    </w:p>
    <w:p>
      <w:pPr>
        <w:pStyle w:val="ListBullet"/>
      </w:pPr>
      <w:r>
        <w:rPr>
          <w:b/>
        </w:rPr>
        <w:t>Autoryzacja:</w:t>
      </w:r>
      <w:r>
        <w:t xml:space="preserve"> brama dostępu rozstrzygana po stronie serwera (stan: dostęp / wybór planu / ekran płatności), nie po stronie przeglądarki — nie da się jej obejść z front-endu.</w:t>
      </w:r>
    </w:p>
    <w:p>
      <w:pPr>
        <w:pStyle w:val="ListBullet"/>
      </w:pPr>
      <w:r>
        <w:rPr>
          <w:b/>
        </w:rPr>
        <w:t>Admin:</w:t>
      </w:r>
      <w:r>
        <w:t xml:space="preserve"> rola super-admina = lista 4 adresów e-mail twardo w kodzie (plus ewentualnie nadana przez panel). Brak automatycznego nadawania uprawnień.</w:t>
      </w:r>
    </w:p>
    <w:p>
      <w:pPr>
        <w:pStyle w:val="ListBullet"/>
      </w:pPr>
      <w:r>
        <w:rPr>
          <w:b/>
        </w:rPr>
        <w:t>Sekrety:</w:t>
      </w:r>
      <w:r>
        <w:t xml:space="preserve"> klucze (Clerk, Stripe, Resend) trzymane jako sekrety platformy (wrangler secret), nie w repozytorium, nie w plikach konfiguracyjnych.</w:t>
      </w:r>
    </w:p>
    <w:p>
      <w:pPr>
        <w:pStyle w:val="ListBullet"/>
      </w:pPr>
      <w:r>
        <w:rPr>
          <w:b/>
        </w:rPr>
        <w:t>Brak śledzenia:</w:t>
      </w:r>
      <w:r>
        <w:t xml:space="preserve"> zero analityki i trackerów marketingowych po stronie pacjenta; jedyne zewnętrzne zasoby to biblioteki techniczne z CDN (obsługa Excela i PDF).</w:t>
      </w:r>
    </w:p>
    <w:p>
      <w:pPr>
        <w:pStyle w:val="ListBullet"/>
      </w:pPr>
      <w:r>
        <w:rPr>
          <w:b/>
        </w:rPr>
        <w:t>Transmisja:</w:t>
      </w:r>
      <w:r>
        <w:t xml:space="preserve"> komunikacja po HTTPS; dane pacjenta nie opuszczają urządzenia.</w:t>
      </w:r>
    </w:p>
    <w:p>
      <w:pPr>
        <w:pStyle w:val="Heading1"/>
      </w:pPr>
      <w:r>
        <w:t>8. Aplikacja a wyrób medyczny (skrót)</w:t>
      </w:r>
    </w:p>
    <w:p>
      <w:r>
        <w:rPr>
          <w:b w:val="0"/>
          <w:i w:val="0"/>
        </w:rPr>
        <w:t>Osobna kwestia od AI Act. Wstępna analiza (osobny dokument: research wejścia na rynki, sekcja wyrób medyczny): przy pozycjonowaniu EDUKACYJNO-PROFILAKTYCZNYM, z higienistką jako profesjonalistą prowadzącym proces i bez treści diagnostycznych, HIGI najprawdopodobniej pozostaje POZA definicją wyrobu medycznego. W UE (MDR) jest to jednak „szare pole” — zalecana pisemna opinia prawnika MedTech przed marketingiem o charakterze klinicznym. Co przesuwa w stronę wyrobu: claimy diagnozy/leczenia, ocena ryzyka jako wynik kliniczny, albo plan trafiający do pacjenta bez udziału higienistki.</w:t>
      </w:r>
    </w:p>
    <w:p>
      <w:pPr>
        <w:pStyle w:val="Heading1"/>
      </w:pPr>
      <w:r>
        <w:t>9. Wskazówki dla marketingu</w:t>
      </w:r>
    </w:p>
    <w:p>
      <w:r>
        <w:rPr>
          <w:b w:val="0"/>
          <w:i w:val="0"/>
        </w:rPr>
        <w:t>Sposób komunikacji wpływa na kwalifikację prawną (wyrób medyczny) i na uczciwość przekazu. Zasada: pozycjonujemy HIGI jako narzędzie EDUKACYJNO-PROFILAKTYCZNE i organizacyjne dla higienistki, nie jako narzędzie diagnostyczne/lecznicze.</w:t>
      </w:r>
    </w:p>
    <w:p>
      <w:pPr>
        <w:pStyle w:val="Heading2"/>
      </w:pPr>
      <w:r>
        <w:t>9.1. Co MOŻNA mówić</w:t>
      </w:r>
    </w:p>
    <w:p>
      <w:pPr>
        <w:pStyle w:val="ListBullet"/>
      </w:pPr>
      <w:r>
        <w:t>„Spersonalizowany plan higieny jamy ustnej / profilaktyki” przygotowywany przez higienistkę.</w:t>
      </w:r>
    </w:p>
    <w:p>
      <w:pPr>
        <w:pStyle w:val="ListBullet"/>
      </w:pPr>
      <w:r>
        <w:t>„Narzędzie, które pomaga higienistce ułożyć i przekazać pacjentowi zalecenia higieniczne (co kupić, jak myć, jak często).”</w:t>
      </w:r>
    </w:p>
    <w:p>
      <w:pPr>
        <w:pStyle w:val="ListBullet"/>
      </w:pPr>
      <w:r>
        <w:t>„Edukacja i profilaktyka”, „wsparcie pracy higienistki”, „oszczędność czasu”.</w:t>
      </w:r>
    </w:p>
    <w:p>
      <w:pPr>
        <w:pStyle w:val="ListBullet"/>
      </w:pPr>
      <w:r>
        <w:t>„Dane pacjenta zostają w przeglądarce — nie wysyłamy ich na serwer” (to prawda i mocny atut).</w:t>
      </w:r>
    </w:p>
    <w:p>
      <w:pPr>
        <w:pStyle w:val="Heading2"/>
      </w:pPr>
      <w:r>
        <w:t>9.2. Czego UNIKAĆ</w:t>
      </w:r>
    </w:p>
    <w:p>
      <w:pPr>
        <w:pStyle w:val="ListBullet"/>
      </w:pPr>
      <w:r>
        <w:t>„Diagnoza”, „wykrywa próchnicę/paradontozę”, „leczy”, „ocena ryzyka choroby” — przesuwa w stronę wyrobu medycznego.</w:t>
      </w:r>
    </w:p>
    <w:p>
      <w:pPr>
        <w:pStyle w:val="ListBullet"/>
      </w:pPr>
      <w:r>
        <w:t>Sugestii, że aplikacja zastępuje higienistkę lub stomatologa, albo że plan idzie wprost do pacjenta bez profesjonalisty.</w:t>
      </w:r>
    </w:p>
    <w:p>
      <w:pPr>
        <w:pStyle w:val="ListBullet"/>
      </w:pPr>
      <w:r>
        <w:t>Słowa „sztuczna inteligencja / AI” jako cechy silnika — bo to nieprawda (silnik jest regułowy) i niepotrzebnie wzbudza pytania o AI Act.</w:t>
      </w:r>
    </w:p>
    <w:p>
      <w:pPr>
        <w:pStyle w:val="Heading1"/>
      </w:pPr>
      <w:r>
        <w:t>10. Wykaz źródeł (pliki kodu)</w:t>
      </w:r>
    </w:p>
    <w:p>
      <w:r>
        <w:rPr>
          <w:b w:val="0"/>
          <w:i w:val="0"/>
        </w:rPr>
        <w:t>Dokument oparto na odczycie następujących plików (stan na 25 czerwca 2026):</w:t>
      </w:r>
    </w:p>
    <w:p>
      <w:pPr>
        <w:pStyle w:val="ListBullet"/>
      </w:pPr>
      <w:r>
        <w:t>apps/legacy/lib/app.js — silnik planu (determinizm, składanie planu, brak ML, dane pacjenta w przeglądarce).</w:t>
      </w:r>
    </w:p>
    <w:p>
      <w:pPr>
        <w:pStyle w:val="ListBullet"/>
      </w:pPr>
      <w:r>
        <w:t>apps/legacy/lib/excel-parser.js — wczytywanie arkusza reguł w przeglądarce (SheetJS).</w:t>
      </w:r>
    </w:p>
    <w:p>
      <w:pPr>
        <w:pStyle w:val="ListBullet"/>
      </w:pPr>
      <w:r>
        <w:t>apps/legacy/ankieta/, index.html, zalecenia/ — interfejs pacjenta.</w:t>
      </w:r>
    </w:p>
    <w:p>
      <w:pPr>
        <w:pStyle w:val="ListBullet"/>
      </w:pPr>
      <w:r>
        <w:t>apps/workers/migrations/0001–0008 — pełny schemat bazy D1 (zweryfikowano: brak danych pacjenta).</w:t>
      </w:r>
    </w:p>
    <w:p>
      <w:pPr>
        <w:pStyle w:val="ListBullet"/>
      </w:pPr>
      <w:r>
        <w:t>apps/workers/src/features/ (account, auth, admin, billing, content, email, org, templates) — endpointy API.</w:t>
      </w:r>
    </w:p>
    <w:p>
      <w:pPr>
        <w:pStyle w:val="ListBullet"/>
      </w:pPr>
      <w:r>
        <w:t>apps/web/src — front higienistki/admina (jakie dane zbiera, dokąd wysyła).</w:t>
      </w:r>
    </w:p>
    <w:p>
      <w:pPr>
        <w:pStyle w:val="ListBullet"/>
      </w:pPr>
      <w:r>
        <w:t>wrangler.toml — bindingi (D1/KV), sekrety jako referencje (nie wartości).</w:t>
      </w:r>
    </w:p>
    <w:p>
      <w:pPr>
        <w:pStyle w:val="Heading1"/>
      </w:pPr>
      <w:r>
        <w:t>11. Zastrzeżenia</w:t>
      </w:r>
    </w:p>
    <w:p>
      <w:r>
        <w:rPr>
          <w:b w:val="0"/>
          <w:i w:val="0"/>
        </w:rPr>
        <w:t>Ten dokument to opis stanu faktycznego aplikacji i analiza pomocnicza — NIE porada prawna. Ostateczna ocena zgodności z AI Act, RODO i przepisami o wyrobach medycznych należy do prawnika / inspektora ochrony danych. Stan kodu opisano na dzień 25 czerwca 2026; część funkcji (gabinety, maile, NIP, edytor) jest w przygotowaniu na środowisku deweloperskim i może ulec zmianie przed wdrożeniem na produkcję.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